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EC6" w:rsidRPr="00C64EC6" w:rsidRDefault="00C64EC6" w:rsidP="00C64EC6">
      <w:pPr>
        <w:autoSpaceDE w:val="0"/>
        <w:autoSpaceDN w:val="0"/>
        <w:adjustRightInd w:val="0"/>
        <w:spacing w:after="0" w:line="240" w:lineRule="auto"/>
        <w:jc w:val="both"/>
        <w:rPr>
          <w:rFonts w:ascii="Arial" w:hAnsi="Arial" w:cs="Arial"/>
          <w:color w:val="231F20"/>
          <w:sz w:val="24"/>
          <w:szCs w:val="24"/>
        </w:rPr>
      </w:pPr>
      <w:r w:rsidRPr="00C64EC6">
        <w:rPr>
          <w:rFonts w:ascii="Arial" w:hAnsi="Arial" w:cs="Arial"/>
          <w:color w:val="231F20"/>
          <w:sz w:val="24"/>
          <w:szCs w:val="24"/>
        </w:rPr>
        <w:t>In section 37 of the Income-tax Act, in sub-section (</w:t>
      </w:r>
      <w:r w:rsidRPr="00C64EC6">
        <w:rPr>
          <w:rFonts w:ascii="Arial" w:hAnsi="Arial" w:cs="Arial"/>
          <w:i/>
          <w:iCs/>
          <w:color w:val="231F20"/>
          <w:sz w:val="24"/>
          <w:szCs w:val="24"/>
        </w:rPr>
        <w:t>1</w:t>
      </w:r>
      <w:r w:rsidRPr="00C64EC6">
        <w:rPr>
          <w:rFonts w:ascii="Arial" w:hAnsi="Arial" w:cs="Arial"/>
          <w:color w:val="231F20"/>
          <w:sz w:val="24"/>
          <w:szCs w:val="24"/>
        </w:rPr>
        <w:t xml:space="preserve">), the </w:t>
      </w:r>
      <w:r w:rsidRPr="00C64EC6">
        <w:rPr>
          <w:rFonts w:ascii="Arial" w:hAnsi="Arial" w:cs="Arial"/>
          <w:i/>
          <w:iCs/>
          <w:color w:val="231F20"/>
          <w:sz w:val="24"/>
          <w:szCs w:val="24"/>
        </w:rPr>
        <w:t xml:space="preserve">Explanation </w:t>
      </w:r>
      <w:r>
        <w:rPr>
          <w:rFonts w:ascii="Arial" w:hAnsi="Arial" w:cs="Arial"/>
          <w:color w:val="231F20"/>
          <w:sz w:val="24"/>
          <w:szCs w:val="24"/>
        </w:rPr>
        <w:t xml:space="preserve">shall be </w:t>
      </w:r>
      <w:r w:rsidRPr="00C64EC6">
        <w:rPr>
          <w:rFonts w:ascii="Arial" w:hAnsi="Arial" w:cs="Arial"/>
          <w:color w:val="231F20"/>
          <w:sz w:val="24"/>
          <w:szCs w:val="24"/>
        </w:rPr>
        <w:t>numbered as</w:t>
      </w:r>
    </w:p>
    <w:p w:rsidR="00C64EC6" w:rsidRDefault="00C64EC6" w:rsidP="00C64EC6">
      <w:pPr>
        <w:autoSpaceDE w:val="0"/>
        <w:autoSpaceDN w:val="0"/>
        <w:adjustRightInd w:val="0"/>
        <w:spacing w:after="0" w:line="240" w:lineRule="auto"/>
        <w:jc w:val="both"/>
        <w:rPr>
          <w:rFonts w:ascii="Arial" w:hAnsi="Arial" w:cs="Arial"/>
          <w:color w:val="231F20"/>
          <w:sz w:val="24"/>
          <w:szCs w:val="24"/>
        </w:rPr>
      </w:pPr>
      <w:r w:rsidRPr="00C64EC6">
        <w:rPr>
          <w:rFonts w:ascii="Arial" w:hAnsi="Arial" w:cs="Arial"/>
          <w:i/>
          <w:iCs/>
          <w:color w:val="231F20"/>
          <w:sz w:val="24"/>
          <w:szCs w:val="24"/>
        </w:rPr>
        <w:t xml:space="preserve">Explanation 1 </w:t>
      </w:r>
      <w:r w:rsidRPr="00C64EC6">
        <w:rPr>
          <w:rFonts w:ascii="Arial" w:hAnsi="Arial" w:cs="Arial"/>
          <w:color w:val="231F20"/>
          <w:sz w:val="24"/>
          <w:szCs w:val="24"/>
        </w:rPr>
        <w:t xml:space="preserve">thereof and after </w:t>
      </w:r>
      <w:r w:rsidRPr="00C64EC6">
        <w:rPr>
          <w:rFonts w:ascii="Arial" w:hAnsi="Arial" w:cs="Arial"/>
          <w:i/>
          <w:iCs/>
          <w:color w:val="231F20"/>
          <w:sz w:val="24"/>
          <w:szCs w:val="24"/>
        </w:rPr>
        <w:t xml:space="preserve">Explanation 1 </w:t>
      </w:r>
      <w:r w:rsidRPr="00C64EC6">
        <w:rPr>
          <w:rFonts w:ascii="Arial" w:hAnsi="Arial" w:cs="Arial"/>
          <w:color w:val="231F20"/>
          <w:sz w:val="24"/>
          <w:szCs w:val="24"/>
        </w:rPr>
        <w:t>as so numbered, the following</w:t>
      </w:r>
      <w:r>
        <w:rPr>
          <w:rFonts w:ascii="Arial" w:hAnsi="Arial" w:cs="Arial"/>
          <w:color w:val="231F20"/>
          <w:sz w:val="24"/>
          <w:szCs w:val="24"/>
        </w:rPr>
        <w:t xml:space="preserve"> </w:t>
      </w:r>
      <w:r w:rsidRPr="00C64EC6">
        <w:rPr>
          <w:rFonts w:ascii="Arial" w:hAnsi="Arial" w:cs="Arial"/>
          <w:i/>
          <w:iCs/>
          <w:color w:val="231F20"/>
          <w:sz w:val="24"/>
          <w:szCs w:val="24"/>
        </w:rPr>
        <w:t xml:space="preserve">Explanation </w:t>
      </w:r>
      <w:r w:rsidRPr="00C64EC6">
        <w:rPr>
          <w:rFonts w:ascii="Arial" w:hAnsi="Arial" w:cs="Arial"/>
          <w:color w:val="231F20"/>
          <w:sz w:val="24"/>
          <w:szCs w:val="24"/>
        </w:rPr>
        <w:t>shall be</w:t>
      </w:r>
      <w:r>
        <w:rPr>
          <w:rFonts w:ascii="Arial" w:hAnsi="Arial" w:cs="Arial"/>
          <w:color w:val="231F20"/>
          <w:sz w:val="24"/>
          <w:szCs w:val="24"/>
        </w:rPr>
        <w:t xml:space="preserve"> </w:t>
      </w:r>
      <w:r w:rsidRPr="00C64EC6">
        <w:rPr>
          <w:rFonts w:ascii="Arial" w:hAnsi="Arial" w:cs="Arial"/>
          <w:color w:val="231F20"/>
          <w:sz w:val="24"/>
          <w:szCs w:val="24"/>
        </w:rPr>
        <w:t>inserted with effect from the 1st day of April, 2015, namely:—</w:t>
      </w:r>
    </w:p>
    <w:p w:rsidR="00C64EC6" w:rsidRPr="00C64EC6" w:rsidRDefault="00C64EC6" w:rsidP="00C64EC6">
      <w:pPr>
        <w:autoSpaceDE w:val="0"/>
        <w:autoSpaceDN w:val="0"/>
        <w:adjustRightInd w:val="0"/>
        <w:spacing w:after="0" w:line="240" w:lineRule="auto"/>
        <w:jc w:val="both"/>
        <w:rPr>
          <w:rFonts w:ascii="Arial" w:hAnsi="Arial" w:cs="Arial"/>
          <w:color w:val="231F20"/>
          <w:sz w:val="24"/>
          <w:szCs w:val="24"/>
        </w:rPr>
      </w:pPr>
    </w:p>
    <w:p w:rsidR="005015BD" w:rsidRDefault="00C64EC6" w:rsidP="00C64EC6">
      <w:pPr>
        <w:autoSpaceDE w:val="0"/>
        <w:autoSpaceDN w:val="0"/>
        <w:adjustRightInd w:val="0"/>
        <w:spacing w:after="0" w:line="240" w:lineRule="auto"/>
        <w:jc w:val="both"/>
        <w:rPr>
          <w:rFonts w:ascii="Arial" w:hAnsi="Arial" w:cs="Arial"/>
          <w:color w:val="231F20"/>
          <w:sz w:val="24"/>
          <w:szCs w:val="24"/>
        </w:rPr>
      </w:pPr>
      <w:proofErr w:type="gramStart"/>
      <w:r w:rsidRPr="00C64EC6">
        <w:rPr>
          <w:rFonts w:ascii="Arial" w:hAnsi="Arial" w:cs="Arial"/>
          <w:b/>
          <w:color w:val="231F20"/>
          <w:sz w:val="24"/>
          <w:szCs w:val="24"/>
        </w:rPr>
        <w:t>“</w:t>
      </w:r>
      <w:r w:rsidRPr="00C64EC6">
        <w:rPr>
          <w:rFonts w:ascii="Arial" w:hAnsi="Arial" w:cs="Arial"/>
          <w:b/>
          <w:i/>
          <w:iCs/>
          <w:color w:val="231F20"/>
          <w:sz w:val="24"/>
          <w:szCs w:val="24"/>
        </w:rPr>
        <w:t>Explanation 2</w:t>
      </w:r>
      <w:r w:rsidRPr="00C64EC6">
        <w:rPr>
          <w:rFonts w:ascii="Arial" w:hAnsi="Arial" w:cs="Arial"/>
          <w:b/>
          <w:color w:val="231F20"/>
          <w:sz w:val="24"/>
          <w:szCs w:val="24"/>
        </w:rPr>
        <w:t>.</w:t>
      </w:r>
      <w:proofErr w:type="gramEnd"/>
      <w:r>
        <w:rPr>
          <w:rFonts w:ascii="Arial" w:hAnsi="Arial" w:cs="Arial"/>
          <w:color w:val="231F20"/>
          <w:sz w:val="24"/>
          <w:szCs w:val="24"/>
        </w:rPr>
        <w:t xml:space="preserve"> </w:t>
      </w:r>
      <w:r w:rsidRPr="00C64EC6">
        <w:rPr>
          <w:rFonts w:ascii="Arial" w:hAnsi="Arial" w:cs="Arial"/>
          <w:color w:val="231F20"/>
          <w:sz w:val="24"/>
          <w:szCs w:val="24"/>
        </w:rPr>
        <w:t>—</w:t>
      </w:r>
      <w:r>
        <w:rPr>
          <w:rFonts w:ascii="Arial" w:hAnsi="Arial" w:cs="Arial"/>
          <w:color w:val="231F20"/>
          <w:sz w:val="24"/>
          <w:szCs w:val="24"/>
        </w:rPr>
        <w:t xml:space="preserve"> </w:t>
      </w:r>
      <w:r w:rsidRPr="00C64EC6">
        <w:rPr>
          <w:rFonts w:ascii="Arial" w:hAnsi="Arial" w:cs="Arial"/>
          <w:color w:val="231F20"/>
          <w:sz w:val="24"/>
          <w:szCs w:val="24"/>
        </w:rPr>
        <w:t>For the removal of doubts, it is hereby declared that for the purposes of</w:t>
      </w:r>
      <w:r>
        <w:rPr>
          <w:rFonts w:ascii="Arial" w:hAnsi="Arial" w:cs="Arial"/>
          <w:color w:val="231F20"/>
          <w:sz w:val="24"/>
          <w:szCs w:val="24"/>
        </w:rPr>
        <w:t xml:space="preserve"> </w:t>
      </w:r>
      <w:r w:rsidRPr="00C64EC6">
        <w:rPr>
          <w:rFonts w:ascii="Arial" w:hAnsi="Arial" w:cs="Arial"/>
          <w:color w:val="231F20"/>
          <w:sz w:val="24"/>
          <w:szCs w:val="24"/>
        </w:rPr>
        <w:t>sub-section (</w:t>
      </w:r>
      <w:r w:rsidRPr="00C64EC6">
        <w:rPr>
          <w:rFonts w:ascii="Arial" w:hAnsi="Arial" w:cs="Arial"/>
          <w:i/>
          <w:iCs/>
          <w:color w:val="231F20"/>
          <w:sz w:val="24"/>
          <w:szCs w:val="24"/>
        </w:rPr>
        <w:t>1</w:t>
      </w:r>
      <w:r w:rsidRPr="00C64EC6">
        <w:rPr>
          <w:rFonts w:ascii="Arial" w:hAnsi="Arial" w:cs="Arial"/>
          <w:color w:val="231F20"/>
          <w:sz w:val="24"/>
          <w:szCs w:val="24"/>
        </w:rPr>
        <w:t xml:space="preserve">), any </w:t>
      </w:r>
      <w:r w:rsidRPr="00C64EC6">
        <w:rPr>
          <w:rFonts w:ascii="Arial" w:hAnsi="Arial" w:cs="Arial"/>
          <w:b/>
          <w:color w:val="231F20"/>
          <w:sz w:val="24"/>
          <w:szCs w:val="24"/>
        </w:rPr>
        <w:t>expenditure incurred</w:t>
      </w:r>
      <w:r w:rsidRPr="00C64EC6">
        <w:rPr>
          <w:rFonts w:ascii="Arial" w:hAnsi="Arial" w:cs="Arial"/>
          <w:color w:val="231F20"/>
          <w:sz w:val="24"/>
          <w:szCs w:val="24"/>
        </w:rPr>
        <w:t xml:space="preserve"> by an </w:t>
      </w:r>
      <w:proofErr w:type="spellStart"/>
      <w:r w:rsidRPr="00C64EC6">
        <w:rPr>
          <w:rFonts w:ascii="Arial" w:hAnsi="Arial" w:cs="Arial"/>
          <w:color w:val="231F20"/>
          <w:sz w:val="24"/>
          <w:szCs w:val="24"/>
        </w:rPr>
        <w:t>assessee</w:t>
      </w:r>
      <w:proofErr w:type="spellEnd"/>
      <w:r w:rsidRPr="00C64EC6">
        <w:rPr>
          <w:rFonts w:ascii="Arial" w:hAnsi="Arial" w:cs="Arial"/>
          <w:color w:val="231F20"/>
          <w:sz w:val="24"/>
          <w:szCs w:val="24"/>
        </w:rPr>
        <w:t xml:space="preserve"> on the activities relating to </w:t>
      </w:r>
      <w:r w:rsidRPr="00C64EC6">
        <w:rPr>
          <w:rFonts w:ascii="Arial" w:hAnsi="Arial" w:cs="Arial"/>
          <w:b/>
          <w:color w:val="231F20"/>
          <w:sz w:val="24"/>
          <w:szCs w:val="24"/>
        </w:rPr>
        <w:t>corporate social responsibility</w:t>
      </w:r>
      <w:r w:rsidRPr="00C64EC6">
        <w:rPr>
          <w:rFonts w:ascii="Arial" w:hAnsi="Arial" w:cs="Arial"/>
          <w:color w:val="231F20"/>
          <w:sz w:val="24"/>
          <w:szCs w:val="24"/>
        </w:rPr>
        <w:t xml:space="preserve"> </w:t>
      </w:r>
      <w:r w:rsidRPr="00C64EC6">
        <w:rPr>
          <w:rFonts w:ascii="Arial" w:hAnsi="Arial" w:cs="Arial"/>
          <w:b/>
          <w:color w:val="231F20"/>
          <w:sz w:val="24"/>
          <w:szCs w:val="24"/>
        </w:rPr>
        <w:t xml:space="preserve">referred to in section 135 </w:t>
      </w:r>
      <w:r w:rsidRPr="00C64EC6">
        <w:rPr>
          <w:rFonts w:ascii="Arial" w:hAnsi="Arial" w:cs="Arial"/>
          <w:color w:val="231F20"/>
          <w:sz w:val="24"/>
          <w:szCs w:val="24"/>
        </w:rPr>
        <w:t xml:space="preserve">of the Companies Act, 2013 shall </w:t>
      </w:r>
      <w:r w:rsidRPr="00C64EC6">
        <w:rPr>
          <w:rFonts w:ascii="Arial" w:hAnsi="Arial" w:cs="Arial"/>
          <w:color w:val="231F20"/>
          <w:sz w:val="24"/>
          <w:szCs w:val="24"/>
          <w:u w:val="single"/>
        </w:rPr>
        <w:t>not be deemed to be an expenditure</w:t>
      </w:r>
      <w:r w:rsidRPr="00C64EC6">
        <w:rPr>
          <w:rFonts w:ascii="Arial" w:hAnsi="Arial" w:cs="Arial"/>
          <w:color w:val="231F20"/>
          <w:sz w:val="24"/>
          <w:szCs w:val="24"/>
        </w:rPr>
        <w:t xml:space="preserve"> incurred by the </w:t>
      </w:r>
      <w:proofErr w:type="spellStart"/>
      <w:r w:rsidRPr="00C64EC6">
        <w:rPr>
          <w:rFonts w:ascii="Arial" w:hAnsi="Arial" w:cs="Arial"/>
          <w:color w:val="231F20"/>
          <w:sz w:val="24"/>
          <w:szCs w:val="24"/>
        </w:rPr>
        <w:t>assessee</w:t>
      </w:r>
      <w:proofErr w:type="spellEnd"/>
      <w:r w:rsidRPr="00C64EC6">
        <w:rPr>
          <w:rFonts w:ascii="Arial" w:hAnsi="Arial" w:cs="Arial"/>
          <w:color w:val="231F20"/>
          <w:sz w:val="24"/>
          <w:szCs w:val="24"/>
        </w:rPr>
        <w:t xml:space="preserve"> for the purposes of the business or profession.”</w:t>
      </w:r>
    </w:p>
    <w:p w:rsidR="00240DA9" w:rsidRDefault="00240DA9" w:rsidP="00C64EC6">
      <w:pPr>
        <w:autoSpaceDE w:val="0"/>
        <w:autoSpaceDN w:val="0"/>
        <w:adjustRightInd w:val="0"/>
        <w:spacing w:after="0" w:line="240" w:lineRule="auto"/>
        <w:jc w:val="both"/>
        <w:rPr>
          <w:rFonts w:ascii="Arial" w:hAnsi="Arial" w:cs="Arial"/>
          <w:color w:val="231F20"/>
          <w:sz w:val="24"/>
          <w:szCs w:val="24"/>
        </w:rPr>
      </w:pPr>
    </w:p>
    <w:p w:rsidR="00240DA9" w:rsidRDefault="00240DA9" w:rsidP="00240DA9">
      <w:pPr>
        <w:pBdr>
          <w:top w:val="single" w:sz="4" w:space="1" w:color="auto"/>
          <w:bottom w:val="single" w:sz="4" w:space="1" w:color="auto"/>
        </w:pBdr>
        <w:autoSpaceDE w:val="0"/>
        <w:autoSpaceDN w:val="0"/>
        <w:adjustRightInd w:val="0"/>
        <w:spacing w:after="0" w:line="240" w:lineRule="auto"/>
        <w:jc w:val="both"/>
        <w:rPr>
          <w:rFonts w:ascii="Arial" w:hAnsi="Arial" w:cs="Arial"/>
          <w:color w:val="231F20"/>
          <w:sz w:val="24"/>
          <w:szCs w:val="24"/>
        </w:rPr>
      </w:pPr>
      <w:r>
        <w:rPr>
          <w:rStyle w:val="Strong"/>
        </w:rPr>
        <w:t>Corporate Social Responsibility (CSR)</w:t>
      </w:r>
    </w:p>
    <w:p w:rsidR="00240DA9" w:rsidRDefault="00240DA9" w:rsidP="00240DA9">
      <w:pPr>
        <w:rPr>
          <w:rFonts w:ascii="Arial" w:hAnsi="Arial" w:cs="Arial"/>
          <w:sz w:val="24"/>
          <w:szCs w:val="24"/>
        </w:rPr>
      </w:pPr>
    </w:p>
    <w:p w:rsidR="00240DA9" w:rsidRPr="00240DA9" w:rsidRDefault="00240DA9" w:rsidP="00240DA9">
      <w:pPr>
        <w:pStyle w:val="NormalWeb"/>
        <w:jc w:val="both"/>
        <w:rPr>
          <w:rFonts w:ascii="Arial" w:hAnsi="Arial" w:cs="Arial"/>
        </w:rPr>
      </w:pPr>
      <w:r w:rsidRPr="00240DA9">
        <w:rPr>
          <w:rFonts w:ascii="Arial" w:hAnsi="Arial" w:cs="Arial"/>
        </w:rPr>
        <w:t xml:space="preserve">Under the Companies Act, 2013 certain companies (which have net worth of </w:t>
      </w:r>
      <w:r w:rsidRPr="00240DA9">
        <w:rPr>
          <w:rFonts w:ascii="Calibri" w:hAnsi="Calibri" w:cs="Arial"/>
        </w:rPr>
        <w:t>₹</w:t>
      </w:r>
      <w:r w:rsidRPr="00240DA9">
        <w:rPr>
          <w:rFonts w:ascii="Arial" w:hAnsi="Arial" w:cs="Arial"/>
        </w:rPr>
        <w:t xml:space="preserve"> 500 </w:t>
      </w:r>
      <w:proofErr w:type="spellStart"/>
      <w:r w:rsidRPr="00240DA9">
        <w:rPr>
          <w:rFonts w:ascii="Arial" w:hAnsi="Arial" w:cs="Arial"/>
        </w:rPr>
        <w:t>crore</w:t>
      </w:r>
      <w:proofErr w:type="spellEnd"/>
      <w:r w:rsidRPr="00240DA9">
        <w:rPr>
          <w:rFonts w:ascii="Arial" w:hAnsi="Arial" w:cs="Arial"/>
        </w:rPr>
        <w:t xml:space="preserve"> or more, or turnover of </w:t>
      </w:r>
      <w:r w:rsidRPr="00240DA9">
        <w:rPr>
          <w:rFonts w:ascii="Calibri" w:hAnsi="Calibri" w:cs="Arial"/>
        </w:rPr>
        <w:t>₹</w:t>
      </w:r>
      <w:r w:rsidRPr="00240DA9">
        <w:rPr>
          <w:rFonts w:ascii="Arial" w:hAnsi="Arial" w:cs="Arial"/>
        </w:rPr>
        <w:t xml:space="preserve"> 1000 </w:t>
      </w:r>
      <w:proofErr w:type="spellStart"/>
      <w:r w:rsidRPr="00240DA9">
        <w:rPr>
          <w:rFonts w:ascii="Arial" w:hAnsi="Arial" w:cs="Arial"/>
        </w:rPr>
        <w:t>crore</w:t>
      </w:r>
      <w:proofErr w:type="spellEnd"/>
      <w:r w:rsidRPr="00240DA9">
        <w:rPr>
          <w:rFonts w:ascii="Arial" w:hAnsi="Arial" w:cs="Arial"/>
        </w:rPr>
        <w:t xml:space="preserve"> or more, or a net profit of </w:t>
      </w:r>
      <w:r w:rsidRPr="00240DA9">
        <w:rPr>
          <w:rFonts w:ascii="Calibri" w:hAnsi="Calibri" w:cs="Arial"/>
        </w:rPr>
        <w:t>₹</w:t>
      </w:r>
      <w:r w:rsidRPr="00240DA9">
        <w:rPr>
          <w:rFonts w:ascii="Arial" w:hAnsi="Arial" w:cs="Arial"/>
        </w:rPr>
        <w:t xml:space="preserve"> 5 </w:t>
      </w:r>
      <w:proofErr w:type="spellStart"/>
      <w:r w:rsidRPr="00240DA9">
        <w:rPr>
          <w:rFonts w:ascii="Arial" w:hAnsi="Arial" w:cs="Arial"/>
        </w:rPr>
        <w:t>crore</w:t>
      </w:r>
      <w:proofErr w:type="spellEnd"/>
      <w:r w:rsidRPr="00240DA9">
        <w:rPr>
          <w:rFonts w:ascii="Arial" w:hAnsi="Arial" w:cs="Arial"/>
        </w:rPr>
        <w:t xml:space="preserve"> or more during any financial year) are required to spend certain percentage of their profit on activities relating to Corporate Social Responsibility (CSR). Under the existing provisions of the Act expenditure incurred wholly and exclusively for the purposes of the business is only allowed as a deduction for computing taxable business income. </w:t>
      </w:r>
      <w:r w:rsidRPr="00E85858">
        <w:rPr>
          <w:rFonts w:ascii="Arial" w:hAnsi="Arial" w:cs="Arial"/>
          <w:b/>
        </w:rPr>
        <w:t>CSR expenditure, being an application of income, is not incurred wholly and exclusively for the purposes of carrying on business.</w:t>
      </w:r>
      <w:r w:rsidRPr="00240DA9">
        <w:rPr>
          <w:rFonts w:ascii="Arial" w:hAnsi="Arial" w:cs="Arial"/>
        </w:rPr>
        <w:t xml:space="preserve"> As the application of income is not allowed as deduction for the purposes of computing taxable income of a company, amount spent on CSR cannot be allowed as deduction for computing the taxable income of the company. Moreover, </w:t>
      </w:r>
      <w:r w:rsidRPr="00E85858">
        <w:rPr>
          <w:rFonts w:ascii="Arial" w:hAnsi="Arial" w:cs="Arial"/>
          <w:b/>
        </w:rPr>
        <w:t>the objective of CSR is to share burden of the Government in providing social services by companies having net worth/turnover/profit above a threshold.</w:t>
      </w:r>
      <w:r w:rsidRPr="00240DA9">
        <w:rPr>
          <w:rFonts w:ascii="Arial" w:hAnsi="Arial" w:cs="Arial"/>
        </w:rPr>
        <w:t xml:space="preserve"> If such expenses are allowed as tax deduction, this would result in subsidizing of around one-third of such expenses by the Government by way of tax expenditure.</w:t>
      </w:r>
    </w:p>
    <w:p w:rsidR="00240DA9" w:rsidRPr="00240DA9" w:rsidRDefault="00240DA9" w:rsidP="00240DA9">
      <w:pPr>
        <w:pStyle w:val="NormalWeb"/>
        <w:jc w:val="both"/>
        <w:rPr>
          <w:rFonts w:ascii="Arial" w:hAnsi="Arial" w:cs="Arial"/>
        </w:rPr>
      </w:pPr>
      <w:r w:rsidRPr="00240DA9">
        <w:rPr>
          <w:rFonts w:ascii="Arial" w:hAnsi="Arial" w:cs="Arial"/>
        </w:rPr>
        <w:t xml:space="preserve">     The existing provisions of section 37(1) of the Act provide that deduction for any expenditure, which is not mentioned specifically in section 30 to section 36 of the Act, shall be allowed if the same is incurred wholly and exclusively for the purposes of carrying on business or profession. </w:t>
      </w:r>
      <w:r w:rsidRPr="00E85858">
        <w:rPr>
          <w:rFonts w:ascii="Arial" w:hAnsi="Arial" w:cs="Arial"/>
          <w:b/>
        </w:rPr>
        <w:t>As the CSR expenditure (being an application of income) is not incurred for the purposes of carrying on business, such expenditures cannot be allowed under the existing provisions of section 37 of the Income-tax Act.</w:t>
      </w:r>
      <w:r w:rsidRPr="00240DA9">
        <w:rPr>
          <w:rFonts w:ascii="Arial" w:hAnsi="Arial" w:cs="Arial"/>
        </w:rPr>
        <w:t xml:space="preserve"> Therefore, in order to provide certainty on this issue, it is proposed to clarify that for the purposes of section 37(1) any expenditure incurred by an </w:t>
      </w:r>
      <w:proofErr w:type="spellStart"/>
      <w:r w:rsidRPr="00240DA9">
        <w:rPr>
          <w:rFonts w:ascii="Arial" w:hAnsi="Arial" w:cs="Arial"/>
        </w:rPr>
        <w:t>assessee</w:t>
      </w:r>
      <w:proofErr w:type="spellEnd"/>
      <w:r w:rsidRPr="00240DA9">
        <w:rPr>
          <w:rFonts w:ascii="Arial" w:hAnsi="Arial" w:cs="Arial"/>
        </w:rPr>
        <w:t xml:space="preserve"> on the activities relating to corporate social responsibility referred to in section 135 of the Companies Act, 2013 shall not be deemed to have been incurred for the purpose of business and hence shall not be allowed as deduction under section 37. However, the CSR expenditure which is of the nature described in section 30 to section 36 of the Act shall be allowed deduction under those sections subject to fulfillment of conditions, if any, specified therein.</w:t>
      </w:r>
    </w:p>
    <w:p w:rsidR="00240DA9" w:rsidRPr="00240DA9" w:rsidRDefault="00240DA9" w:rsidP="00240DA9">
      <w:pPr>
        <w:pStyle w:val="NormalWeb"/>
        <w:jc w:val="both"/>
        <w:rPr>
          <w:rFonts w:ascii="Arial" w:hAnsi="Arial" w:cs="Arial"/>
        </w:rPr>
      </w:pPr>
      <w:r w:rsidRPr="00240DA9">
        <w:rPr>
          <w:rFonts w:ascii="Arial" w:hAnsi="Arial" w:cs="Arial"/>
        </w:rPr>
        <w:lastRenderedPageBreak/>
        <w:t>     This amendment will take effect from 1st April, 2015 and will, accordingly, apply in relation to the assessment year 2015-16 and subsequent years.</w:t>
      </w:r>
    </w:p>
    <w:p w:rsidR="00240DA9" w:rsidRPr="00240DA9" w:rsidRDefault="00240DA9" w:rsidP="00240DA9">
      <w:pPr>
        <w:pBdr>
          <w:bottom w:val="single" w:sz="4" w:space="1" w:color="auto"/>
        </w:pBdr>
        <w:rPr>
          <w:rFonts w:ascii="Arial" w:hAnsi="Arial" w:cs="Arial"/>
          <w:sz w:val="24"/>
          <w:szCs w:val="24"/>
        </w:rPr>
      </w:pPr>
    </w:p>
    <w:sectPr w:rsidR="00240DA9" w:rsidRPr="00240DA9" w:rsidSect="005015B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C64EC6"/>
    <w:rsid w:val="001A1936"/>
    <w:rsid w:val="00240DA9"/>
    <w:rsid w:val="005015BD"/>
    <w:rsid w:val="0074298C"/>
    <w:rsid w:val="00C64EC6"/>
    <w:rsid w:val="00E8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5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40DA9"/>
    <w:rPr>
      <w:b/>
      <w:bCs/>
    </w:rPr>
  </w:style>
  <w:style w:type="paragraph" w:styleId="NormalWeb">
    <w:name w:val="Normal (Web)"/>
    <w:basedOn w:val="Normal"/>
    <w:uiPriority w:val="99"/>
    <w:semiHidden/>
    <w:unhideWhenUsed/>
    <w:rsid w:val="00240DA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13928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468</Words>
  <Characters>2672</Characters>
  <Application>Microsoft Office Word</Application>
  <DocSecurity>0</DocSecurity>
  <Lines>22</Lines>
  <Paragraphs>6</Paragraphs>
  <ScaleCrop>false</ScaleCrop>
  <Company/>
  <LinksUpToDate>false</LinksUpToDate>
  <CharactersWithSpaces>3134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Kashish</dc:creator>
  <cp:lastModifiedBy>HP</cp:lastModifiedBy>
  <cp:revision>3</cp:revision>
  <dcterms:created xsi:type="dcterms:W3CDTF">2014-07-16T07:11:00Z</dcterms:created>
  <dcterms:modified xsi:type="dcterms:W3CDTF">2014-07-17T06:43:00Z</dcterms:modified>
</cp:coreProperties>
</file>